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51"/>
        <w:gridCol w:w="7956"/>
      </w:tblGrid>
      <w:tr w:rsidR="00FC1EEB" w:rsidRPr="00746FC8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4E7CCCBE" w:rsidR="00FC1EEB" w:rsidRPr="003A38B6" w:rsidRDefault="00FC1EEB" w:rsidP="004B58E1">
            <w:pPr>
              <w:pStyle w:val="ETITableText"/>
              <w:rPr>
                <w:b/>
                <w:bCs w:val="0"/>
                <w:lang w:val="da-DK"/>
              </w:rPr>
            </w:pPr>
            <w:r w:rsidRPr="003A38B6">
              <w:rPr>
                <w:b/>
                <w:bCs w:val="0"/>
                <w:lang w:val="da-DK"/>
              </w:rPr>
              <w:t>S</w:t>
            </w:r>
            <w:r w:rsidR="00F94B36">
              <w:rPr>
                <w:b/>
                <w:bCs w:val="0"/>
                <w:lang w:val="da-DK"/>
              </w:rPr>
              <w:t xml:space="preserve">tudienævnets </w:t>
            </w:r>
            <w:r w:rsidR="009C0224">
              <w:rPr>
                <w:b/>
                <w:bCs w:val="0"/>
                <w:lang w:val="da-DK"/>
              </w:rPr>
              <w:t>k</w:t>
            </w:r>
            <w:r w:rsidR="008A376A">
              <w:rPr>
                <w:b/>
                <w:bCs w:val="0"/>
                <w:lang w:val="da-DK"/>
              </w:rPr>
              <w:t xml:space="preserve">onklusion vedrørende </w:t>
            </w:r>
            <w:r w:rsidR="009C0224">
              <w:rPr>
                <w:b/>
                <w:bCs w:val="0"/>
                <w:lang w:val="da-DK"/>
              </w:rPr>
              <w:t xml:space="preserve">evaluering </w:t>
            </w:r>
            <w:r w:rsidR="008A376A">
              <w:rPr>
                <w:b/>
                <w:bCs w:val="0"/>
                <w:lang w:val="da-DK"/>
              </w:rPr>
              <w:t>af uddannelsesforløb</w:t>
            </w:r>
          </w:p>
        </w:tc>
      </w:tr>
      <w:tr w:rsidR="004B58E1" w:rsidRPr="003A38B6" w14:paraId="58B3547A" w14:textId="77777777" w:rsidTr="00BA1CD2">
        <w:tc>
          <w:tcPr>
            <w:tcW w:w="1560" w:type="dxa"/>
          </w:tcPr>
          <w:p w14:paraId="0FE2BCF0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bookmarkStart w:id="0" w:name="OLE_LINK3"/>
            <w:bookmarkStart w:id="1" w:name="OLE_LINK4"/>
            <w:r>
              <w:rPr>
                <w:lang w:val="da-DK"/>
              </w:rPr>
              <w:t>Årstal:</w:t>
            </w:r>
          </w:p>
        </w:tc>
        <w:tc>
          <w:tcPr>
            <w:tcW w:w="8163" w:type="dxa"/>
          </w:tcPr>
          <w:p w14:paraId="087702CE" w14:textId="507FAF46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</w:t>
            </w:r>
            <w:r w:rsidR="00B027C7">
              <w:rPr>
                <w:lang w:val="da-DK"/>
              </w:rPr>
              <w:t>2</w:t>
            </w:r>
            <w:r w:rsidR="002A60DF">
              <w:rPr>
                <w:lang w:val="da-DK"/>
              </w:rPr>
              <w:t>3</w:t>
            </w:r>
          </w:p>
        </w:tc>
      </w:tr>
      <w:tr w:rsidR="004B58E1" w:rsidRPr="003A38B6" w14:paraId="32BA5F44" w14:textId="77777777" w:rsidTr="00BA1CD2">
        <w:tc>
          <w:tcPr>
            <w:tcW w:w="1560" w:type="dxa"/>
          </w:tcPr>
          <w:p w14:paraId="72BCBCA3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4D9D9DC5" w14:textId="728784A4" w:rsidR="004B58E1" w:rsidRPr="003A38B6" w:rsidRDefault="0036018E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Aalborg</w:t>
            </w:r>
          </w:p>
        </w:tc>
      </w:tr>
      <w:tr w:rsidR="004B58E1" w:rsidRPr="00040750" w14:paraId="50BC4CE5" w14:textId="77777777" w:rsidTr="00365C91">
        <w:trPr>
          <w:trHeight w:val="76"/>
        </w:trPr>
        <w:tc>
          <w:tcPr>
            <w:tcW w:w="1560" w:type="dxa"/>
          </w:tcPr>
          <w:p w14:paraId="32E57F3B" w14:textId="09CBFF28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Uddannelse</w:t>
            </w:r>
          </w:p>
        </w:tc>
        <w:tc>
          <w:tcPr>
            <w:tcW w:w="8163" w:type="dxa"/>
          </w:tcPr>
          <w:p w14:paraId="294ED7DF" w14:textId="6690F33F" w:rsidR="004B58E1" w:rsidRPr="003A38B6" w:rsidRDefault="00310A90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Kandidatuddannelsen</w:t>
            </w:r>
            <w:r w:rsidR="00B027C7">
              <w:rPr>
                <w:lang w:val="da-DK"/>
              </w:rPr>
              <w:t xml:space="preserve"> i </w:t>
            </w:r>
            <w:r w:rsidR="001462E6">
              <w:rPr>
                <w:lang w:val="da-DK"/>
              </w:rPr>
              <w:t>Digitalisering og Applikationsudvikling (DAD)</w:t>
            </w:r>
          </w:p>
        </w:tc>
      </w:tr>
      <w:tr w:rsidR="004B58E1" w14:paraId="7CD99D74" w14:textId="77777777" w:rsidTr="00BA1CD2">
        <w:tc>
          <w:tcPr>
            <w:tcW w:w="1560" w:type="dxa"/>
          </w:tcPr>
          <w:p w14:paraId="1FFA6D52" w14:textId="77777777" w:rsidR="004B58E1" w:rsidRDefault="004B58E1" w:rsidP="00BA1CD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Dato:</w:t>
            </w:r>
          </w:p>
        </w:tc>
        <w:tc>
          <w:tcPr>
            <w:tcW w:w="8163" w:type="dxa"/>
          </w:tcPr>
          <w:p w14:paraId="6540AA7E" w14:textId="32F40021" w:rsidR="004B58E1" w:rsidRDefault="00112FF3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</w:t>
            </w:r>
            <w:r w:rsidR="002A60DF">
              <w:rPr>
                <w:lang w:val="da-DK"/>
              </w:rPr>
              <w:t>7</w:t>
            </w:r>
            <w:r>
              <w:rPr>
                <w:lang w:val="da-DK"/>
              </w:rPr>
              <w:t>. september</w:t>
            </w:r>
          </w:p>
        </w:tc>
      </w:tr>
    </w:tbl>
    <w:p w14:paraId="437A6ABE" w14:textId="77777777" w:rsidR="004B58E1" w:rsidRDefault="004B58E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2F61979" w14:textId="77777777" w:rsidR="009C0224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Dette dokument udgør den offentligt tilgængelige evaluering af </w:t>
      </w:r>
      <w:r w:rsidR="009C0224">
        <w:rPr>
          <w:rFonts w:ascii="Arial" w:hAnsi="Arial" w:cs="Courier New"/>
          <w:u w:color="FF0000"/>
          <w:lang w:val="da-DK"/>
        </w:rPr>
        <w:t>ovennævnte uddannelse i ovennævnte år, og er baseret på svar fra studerende i slutningen af sidste semester af uddannelsen på et spørgeskema vedrørende de studerendes oplevelser af blandt andet uddannelsens indhold, sammenhæng, progression og studiebelastning.</w:t>
      </w:r>
    </w:p>
    <w:p w14:paraId="6516050D" w14:textId="77777777" w:rsidR="009C0224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405CC3D" w14:textId="796AAD4E" w:rsidR="00115AED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>Nedenstående konklusion fra studienævnet udgør nævnets beslutning om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115AED">
        <w:rPr>
          <w:rFonts w:ascii="Arial" w:hAnsi="Arial" w:cs="Courier New"/>
          <w:u w:color="FF0000"/>
          <w:lang w:val="da-DK"/>
        </w:rPr>
        <w:t>justeringer</w:t>
      </w:r>
      <w:r>
        <w:rPr>
          <w:rFonts w:ascii="Arial" w:hAnsi="Arial" w:cs="Courier New"/>
          <w:u w:color="FF0000"/>
          <w:lang w:val="da-DK"/>
        </w:rPr>
        <w:t>, som bør foretages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>på baggrund af de studerendes evaluering. Konklusionen kan inddrage information fra</w:t>
      </w:r>
      <w:r w:rsidR="008A376A">
        <w:rPr>
          <w:rFonts w:ascii="Arial" w:hAnsi="Arial" w:cs="Courier New"/>
          <w:u w:color="FF0000"/>
          <w:lang w:val="da-DK"/>
        </w:rPr>
        <w:t xml:space="preserve"> evalueringen af studieaktiviteter på semestret - og tidligere </w:t>
      </w:r>
      <w:r>
        <w:rPr>
          <w:rFonts w:ascii="Arial" w:hAnsi="Arial" w:cs="Courier New"/>
          <w:u w:color="FF0000"/>
          <w:lang w:val="da-DK"/>
        </w:rPr>
        <w:t>evalueringer</w:t>
      </w:r>
      <w:r w:rsidR="008A376A">
        <w:rPr>
          <w:rFonts w:ascii="Arial" w:hAnsi="Arial" w:cs="Courier New"/>
          <w:u w:color="FF0000"/>
          <w:lang w:val="da-DK"/>
        </w:rPr>
        <w:t xml:space="preserve"> af uddannelsesforløb</w:t>
      </w:r>
      <w:r>
        <w:rPr>
          <w:rFonts w:ascii="Arial" w:hAnsi="Arial" w:cs="Courier New"/>
          <w:u w:color="FF0000"/>
          <w:lang w:val="da-DK"/>
        </w:rPr>
        <w:t xml:space="preserve"> samt øvrig information fra studerende, undervisere, aftagere mm, som studienævn</w:t>
      </w:r>
      <w:r w:rsidR="008A376A">
        <w:rPr>
          <w:rFonts w:ascii="Arial" w:hAnsi="Arial" w:cs="Courier New"/>
          <w:u w:color="FF0000"/>
          <w:lang w:val="da-DK"/>
        </w:rPr>
        <w:t>e</w:t>
      </w:r>
      <w:r>
        <w:rPr>
          <w:rFonts w:ascii="Arial" w:hAnsi="Arial" w:cs="Courier New"/>
          <w:u w:color="FF0000"/>
          <w:lang w:val="da-DK"/>
        </w:rPr>
        <w:t>t måtte have kendskab til.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</w:p>
    <w:p w14:paraId="095D49E2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442C1A5A" w14:textId="5CB218A5" w:rsidR="006D2570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Dokumentet udgør ligeledes studienævnets tilbagemelding til </w:t>
      </w:r>
      <w:r w:rsidR="009C0224">
        <w:rPr>
          <w:rFonts w:ascii="Arial" w:hAnsi="Arial" w:cs="Courier New"/>
          <w:u w:color="FF0000"/>
          <w:lang w:val="da-DK"/>
        </w:rPr>
        <w:t>dimittender og studerende</w:t>
      </w:r>
      <w:r>
        <w:rPr>
          <w:rFonts w:ascii="Arial" w:hAnsi="Arial" w:cs="Courier New"/>
          <w:u w:color="FF0000"/>
          <w:lang w:val="da-DK"/>
        </w:rPr>
        <w:t xml:space="preserve"> om </w:t>
      </w:r>
      <w:r w:rsidR="009C0224">
        <w:rPr>
          <w:rFonts w:ascii="Arial" w:hAnsi="Arial" w:cs="Courier New"/>
          <w:u w:color="FF0000"/>
          <w:lang w:val="da-DK"/>
        </w:rPr>
        <w:t xml:space="preserve">de konklusioner, som nævnet har truffet på baggrund af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9C0224">
        <w:rPr>
          <w:rFonts w:ascii="Arial" w:hAnsi="Arial" w:cs="Courier New"/>
          <w:u w:color="FF0000"/>
          <w:lang w:val="da-DK"/>
        </w:rPr>
        <w:t>dimittendernes respons</w:t>
      </w:r>
      <w:bookmarkEnd w:id="0"/>
      <w:bookmarkEnd w:id="1"/>
      <w:r>
        <w:rPr>
          <w:rFonts w:ascii="Arial" w:hAnsi="Arial" w:cs="Courier New"/>
          <w:u w:color="FF0000"/>
          <w:lang w:val="da-DK"/>
        </w:rPr>
        <w:t>.</w:t>
      </w:r>
    </w:p>
    <w:p w14:paraId="72E310E5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215C6E" w:rsidRPr="00746FC8" w14:paraId="0682DAA7" w14:textId="77777777" w:rsidTr="00112FF3">
        <w:trPr>
          <w:cantSplit/>
        </w:trPr>
        <w:tc>
          <w:tcPr>
            <w:tcW w:w="9507" w:type="dxa"/>
            <w:shd w:val="clear" w:color="auto" w:fill="E0E0E0"/>
          </w:tcPr>
          <w:p w14:paraId="694B3D7D" w14:textId="25548C3E" w:rsidR="00215C6E" w:rsidRPr="003A38B6" w:rsidRDefault="00215C6E" w:rsidP="00C53B0A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Udd</w:t>
            </w:r>
            <w:r w:rsidR="00D973A0">
              <w:rPr>
                <w:b/>
                <w:bCs w:val="0"/>
                <w:lang w:val="da-DK"/>
              </w:rPr>
              <w:t>annelses</w:t>
            </w:r>
            <w:r>
              <w:rPr>
                <w:b/>
                <w:bCs w:val="0"/>
                <w:lang w:val="da-DK"/>
              </w:rPr>
              <w:t>koordinatorens offentligt tilgængelige opsamling og anbefalinger</w:t>
            </w:r>
          </w:p>
        </w:tc>
      </w:tr>
      <w:tr w:rsidR="00215C6E" w:rsidRPr="009E5040" w14:paraId="6CEFF1AF" w14:textId="77777777" w:rsidTr="00112FF3">
        <w:trPr>
          <w:cantSplit/>
        </w:trPr>
        <w:tc>
          <w:tcPr>
            <w:tcW w:w="9507" w:type="dxa"/>
            <w:shd w:val="clear" w:color="auto" w:fill="auto"/>
          </w:tcPr>
          <w:p w14:paraId="201BC661" w14:textId="77777777" w:rsidR="00112FF3" w:rsidRPr="00112FF3" w:rsidRDefault="00112FF3" w:rsidP="00112FF3">
            <w:pPr>
              <w:pStyle w:val="ETITableText"/>
              <w:ind w:left="360"/>
              <w:rPr>
                <w:b/>
                <w:bCs w:val="0"/>
                <w:lang w:val="da-DK"/>
              </w:rPr>
            </w:pPr>
          </w:p>
          <w:p w14:paraId="68AC4347" w14:textId="77777777" w:rsidR="009E5040" w:rsidRPr="00B401BE" w:rsidRDefault="009E5040" w:rsidP="009E5040">
            <w:pPr>
              <w:pStyle w:val="ETITableText"/>
              <w:numPr>
                <w:ilvl w:val="0"/>
                <w:numId w:val="28"/>
              </w:numPr>
            </w:pPr>
            <w:r w:rsidRPr="00AE35DE">
              <w:rPr>
                <w:szCs w:val="20"/>
              </w:rPr>
              <w:t xml:space="preserve">The DAD </w:t>
            </w:r>
            <w:r w:rsidRPr="00B401BE">
              <w:t xml:space="preserve">education seems to be highly effective content-, structure- and process-wise. </w:t>
            </w:r>
          </w:p>
          <w:p w14:paraId="339DD9BA" w14:textId="77777777" w:rsidR="009E5040" w:rsidRPr="00AE35DE" w:rsidRDefault="009E5040" w:rsidP="009E5040">
            <w:pPr>
              <w:pStyle w:val="ETITableText"/>
              <w:numPr>
                <w:ilvl w:val="0"/>
                <w:numId w:val="28"/>
              </w:numPr>
              <w:rPr>
                <w:lang w:val="da-DK"/>
              </w:rPr>
            </w:pPr>
            <w:proofErr w:type="spellStart"/>
            <w:r w:rsidRPr="00AE35DE">
              <w:rPr>
                <w:lang w:val="da-DK"/>
              </w:rPr>
              <w:t>Recommendations</w:t>
            </w:r>
            <w:proofErr w:type="spellEnd"/>
            <w:r w:rsidRPr="00AE35DE">
              <w:rPr>
                <w:lang w:val="da-DK"/>
              </w:rPr>
              <w:t xml:space="preserve"> from the students: </w:t>
            </w:r>
          </w:p>
          <w:p w14:paraId="49B693BB" w14:textId="77777777" w:rsidR="009E5040" w:rsidRPr="008F700C" w:rsidRDefault="009E5040" w:rsidP="009E5040">
            <w:pPr>
              <w:pStyle w:val="ETITableText"/>
              <w:numPr>
                <w:ilvl w:val="1"/>
                <w:numId w:val="28"/>
              </w:numPr>
            </w:pPr>
            <w:r w:rsidRPr="008F700C">
              <w:t xml:space="preserve">To consider moving earlier in the education the ASE course, </w:t>
            </w:r>
          </w:p>
          <w:p w14:paraId="7C4E3AA2" w14:textId="77777777" w:rsidR="009E5040" w:rsidRPr="008F700C" w:rsidRDefault="009E5040" w:rsidP="009E5040">
            <w:pPr>
              <w:pStyle w:val="ETITableText"/>
              <w:numPr>
                <w:ilvl w:val="1"/>
                <w:numId w:val="28"/>
              </w:numPr>
            </w:pPr>
            <w:r w:rsidRPr="008F700C">
              <w:t xml:space="preserve">To consider making internships and stays abroad an integral part of the education, </w:t>
            </w:r>
          </w:p>
          <w:p w14:paraId="79E23B4B" w14:textId="77777777" w:rsidR="009E5040" w:rsidRPr="009E5040" w:rsidRDefault="009E5040" w:rsidP="009E5040">
            <w:pPr>
              <w:pStyle w:val="ETITableText"/>
              <w:numPr>
                <w:ilvl w:val="1"/>
                <w:numId w:val="28"/>
              </w:numPr>
              <w:rPr>
                <w:b/>
                <w:bCs w:val="0"/>
              </w:rPr>
            </w:pPr>
            <w:r>
              <w:t>T</w:t>
            </w:r>
            <w:r w:rsidRPr="008F700C">
              <w:t xml:space="preserve">o integrate even more research work into the program (reading and writing research papers) </w:t>
            </w:r>
          </w:p>
          <w:p w14:paraId="40A0875F" w14:textId="77777777" w:rsidR="002A60DF" w:rsidRPr="009E5040" w:rsidRDefault="009E5040" w:rsidP="009E5040">
            <w:pPr>
              <w:pStyle w:val="ETITableText"/>
              <w:numPr>
                <w:ilvl w:val="1"/>
                <w:numId w:val="28"/>
              </w:numPr>
              <w:rPr>
                <w:b/>
                <w:bCs w:val="0"/>
              </w:rPr>
            </w:pPr>
            <w:r w:rsidRPr="008F700C">
              <w:t>To provide more material at the DEB course, and to re-think the course schedule in the 8th semester to better align</w:t>
            </w:r>
            <w:r w:rsidRPr="00AE35DE">
              <w:rPr>
                <w:szCs w:val="20"/>
              </w:rPr>
              <w:t xml:space="preserve"> them with project work tasks </w:t>
            </w:r>
            <w:r w:rsidRPr="00AE35DE">
              <w:rPr>
                <w:i/>
                <w:iCs/>
                <w:sz w:val="16"/>
                <w:szCs w:val="16"/>
              </w:rPr>
              <w:t xml:space="preserve">(changes have already been implemented) </w:t>
            </w:r>
          </w:p>
          <w:p w14:paraId="650ADDE8" w14:textId="5326283B" w:rsidR="009E5040" w:rsidRPr="009E5040" w:rsidRDefault="009E5040" w:rsidP="009E5040">
            <w:pPr>
              <w:pStyle w:val="ETITableText"/>
              <w:ind w:left="1080"/>
              <w:rPr>
                <w:b/>
                <w:bCs w:val="0"/>
              </w:rPr>
            </w:pPr>
          </w:p>
        </w:tc>
      </w:tr>
      <w:tr w:rsidR="00A37114" w:rsidRPr="003A38B6" w14:paraId="5E82EF24" w14:textId="77777777" w:rsidTr="00112FF3">
        <w:trPr>
          <w:cantSplit/>
        </w:trPr>
        <w:tc>
          <w:tcPr>
            <w:tcW w:w="9507" w:type="dxa"/>
            <w:shd w:val="clear" w:color="auto" w:fill="E0E0E0"/>
          </w:tcPr>
          <w:p w14:paraId="0DFDD938" w14:textId="731D932F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Studienævnets konklusion</w:t>
            </w:r>
          </w:p>
        </w:tc>
      </w:tr>
      <w:tr w:rsidR="00FC1EEB" w:rsidRPr="00746FC8" w14:paraId="1AFF4978" w14:textId="77777777" w:rsidTr="00112FF3">
        <w:trPr>
          <w:cantSplit/>
        </w:trPr>
        <w:tc>
          <w:tcPr>
            <w:tcW w:w="9507" w:type="dxa"/>
            <w:shd w:val="clear" w:color="auto" w:fill="auto"/>
          </w:tcPr>
          <w:p w14:paraId="487693A3" w14:textId="77777777" w:rsidR="009E5040" w:rsidRDefault="009E5040" w:rsidP="009E5040">
            <w:pPr>
              <w:pStyle w:val="ETITableText"/>
              <w:numPr>
                <w:ilvl w:val="0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Studienævnets kommentarer</w:t>
            </w:r>
          </w:p>
          <w:p w14:paraId="080ABDF1" w14:textId="77777777" w:rsidR="009E5040" w:rsidRDefault="009E5040" w:rsidP="009E5040">
            <w:pPr>
              <w:pStyle w:val="ETITableText"/>
              <w:numPr>
                <w:ilvl w:val="1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Koordinators rapport tages til efterretning.</w:t>
            </w:r>
          </w:p>
          <w:p w14:paraId="1F258558" w14:textId="77777777" w:rsidR="009E5040" w:rsidRDefault="009E5040" w:rsidP="009E5040">
            <w:pPr>
              <w:pStyle w:val="ETITableText"/>
              <w:numPr>
                <w:ilvl w:val="0"/>
                <w:numId w:val="27"/>
              </w:numPr>
              <w:rPr>
                <w:b/>
                <w:bCs w:val="0"/>
                <w:lang w:val="da-DK"/>
              </w:rPr>
            </w:pPr>
            <w:r w:rsidRPr="000922E2">
              <w:rPr>
                <w:b/>
                <w:bCs w:val="0"/>
                <w:lang w:val="da-DK"/>
              </w:rPr>
              <w:t>Beslutning</w:t>
            </w:r>
          </w:p>
          <w:p w14:paraId="264AB49A" w14:textId="7ED378CA" w:rsidR="00102BB9" w:rsidRPr="009E5040" w:rsidRDefault="009E5040" w:rsidP="009E5040">
            <w:pPr>
              <w:pStyle w:val="ETITableText"/>
              <w:numPr>
                <w:ilvl w:val="1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Uddannelseskoordinators opsamling og anbefalinger publiceres på relevante hjemmeside for kvalitetssikring. (</w:t>
            </w:r>
            <w:r w:rsidRPr="006F0478">
              <w:rPr>
                <w:b/>
                <w:bCs w:val="0"/>
                <w:lang w:val="da-DK"/>
              </w:rPr>
              <w:t>MKA</w:t>
            </w:r>
            <w:r>
              <w:rPr>
                <w:lang w:val="da-DK"/>
              </w:rPr>
              <w:t>)</w:t>
            </w:r>
          </w:p>
        </w:tc>
      </w:tr>
    </w:tbl>
    <w:p w14:paraId="7AA41E7F" w14:textId="3BA31605" w:rsidR="00A37114" w:rsidRPr="003A38B6" w:rsidRDefault="00A37114" w:rsidP="00A37114">
      <w:pPr>
        <w:pStyle w:val="ETIBodytext"/>
        <w:rPr>
          <w:lang w:val="da-DK"/>
        </w:rPr>
      </w:pPr>
    </w:p>
    <w:p w14:paraId="069CB5DA" w14:textId="77777777" w:rsidR="009144CC" w:rsidRPr="003A38B6" w:rsidRDefault="009144CC" w:rsidP="00A37114">
      <w:pPr>
        <w:rPr>
          <w:lang w:val="da-DK"/>
        </w:rPr>
      </w:pPr>
    </w:p>
    <w:sectPr w:rsidR="009144CC" w:rsidRPr="003A38B6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583F" w14:textId="77777777" w:rsidR="00EA69F1" w:rsidRDefault="00EA69F1">
      <w:r>
        <w:separator/>
      </w:r>
    </w:p>
  </w:endnote>
  <w:endnote w:type="continuationSeparator" w:id="0">
    <w:p w14:paraId="301C258E" w14:textId="77777777" w:rsidR="00EA69F1" w:rsidRDefault="00EA69F1">
      <w:r>
        <w:continuationSeparator/>
      </w:r>
    </w:p>
  </w:endnote>
  <w:endnote w:type="continuationNotice" w:id="1">
    <w:p w14:paraId="2B94A228" w14:textId="77777777" w:rsidR="00EA69F1" w:rsidRDefault="00EA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charset w:val="01"/>
    <w:family w:val="roman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396B" w14:textId="77777777" w:rsidR="00EA69F1" w:rsidRDefault="00EA69F1">
      <w:r>
        <w:separator/>
      </w:r>
    </w:p>
  </w:footnote>
  <w:footnote w:type="continuationSeparator" w:id="0">
    <w:p w14:paraId="04C95830" w14:textId="77777777" w:rsidR="00EA69F1" w:rsidRDefault="00EA69F1">
      <w:r>
        <w:continuationSeparator/>
      </w:r>
    </w:p>
  </w:footnote>
  <w:footnote w:type="continuationNotice" w:id="1">
    <w:p w14:paraId="74333B7B" w14:textId="77777777" w:rsidR="00EA69F1" w:rsidRDefault="00EA6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03AE" w14:textId="17CF62FD" w:rsidR="00036A4A" w:rsidRDefault="00036A4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036A4A" w:rsidRDefault="00036A4A"/>
  <w:p w14:paraId="21277256" w14:textId="77777777" w:rsidR="00036A4A" w:rsidRDefault="00036A4A"/>
  <w:p w14:paraId="015A0511" w14:textId="77777777" w:rsidR="00036A4A" w:rsidRDefault="00036A4A"/>
  <w:p w14:paraId="75811D03" w14:textId="77777777" w:rsidR="00036A4A" w:rsidRDefault="0003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34E72F8"/>
    <w:multiLevelType w:val="hybridMultilevel"/>
    <w:tmpl w:val="A5AC3C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D710A"/>
    <w:multiLevelType w:val="hybridMultilevel"/>
    <w:tmpl w:val="968A93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56691509">
    <w:abstractNumId w:val="6"/>
  </w:num>
  <w:num w:numId="2" w16cid:durableId="188422536">
    <w:abstractNumId w:val="1"/>
  </w:num>
  <w:num w:numId="3" w16cid:durableId="461730838">
    <w:abstractNumId w:val="13"/>
  </w:num>
  <w:num w:numId="4" w16cid:durableId="549195714">
    <w:abstractNumId w:val="13"/>
  </w:num>
  <w:num w:numId="5" w16cid:durableId="1263219081">
    <w:abstractNumId w:val="13"/>
  </w:num>
  <w:num w:numId="6" w16cid:durableId="854999804">
    <w:abstractNumId w:val="13"/>
  </w:num>
  <w:num w:numId="7" w16cid:durableId="1861822201">
    <w:abstractNumId w:val="5"/>
  </w:num>
  <w:num w:numId="8" w16cid:durableId="1410925290">
    <w:abstractNumId w:val="5"/>
  </w:num>
  <w:num w:numId="9" w16cid:durableId="1977298182">
    <w:abstractNumId w:val="23"/>
  </w:num>
  <w:num w:numId="10" w16cid:durableId="1608153615">
    <w:abstractNumId w:val="17"/>
  </w:num>
  <w:num w:numId="11" w16cid:durableId="2121414531">
    <w:abstractNumId w:val="0"/>
  </w:num>
  <w:num w:numId="12" w16cid:durableId="450589801">
    <w:abstractNumId w:val="12"/>
  </w:num>
  <w:num w:numId="13" w16cid:durableId="572012639">
    <w:abstractNumId w:val="4"/>
  </w:num>
  <w:num w:numId="14" w16cid:durableId="1957712177">
    <w:abstractNumId w:val="19"/>
  </w:num>
  <w:num w:numId="15" w16cid:durableId="1807315293">
    <w:abstractNumId w:val="18"/>
  </w:num>
  <w:num w:numId="16" w16cid:durableId="306865164">
    <w:abstractNumId w:val="15"/>
  </w:num>
  <w:num w:numId="17" w16cid:durableId="1730300301">
    <w:abstractNumId w:val="7"/>
  </w:num>
  <w:num w:numId="18" w16cid:durableId="964001752">
    <w:abstractNumId w:val="14"/>
  </w:num>
  <w:num w:numId="19" w16cid:durableId="212160950">
    <w:abstractNumId w:val="20"/>
  </w:num>
  <w:num w:numId="20" w16cid:durableId="110438816">
    <w:abstractNumId w:val="10"/>
  </w:num>
  <w:num w:numId="21" w16cid:durableId="1530725733">
    <w:abstractNumId w:val="21"/>
  </w:num>
  <w:num w:numId="22" w16cid:durableId="1079793892">
    <w:abstractNumId w:val="9"/>
  </w:num>
  <w:num w:numId="23" w16cid:durableId="2010254816">
    <w:abstractNumId w:val="16"/>
  </w:num>
  <w:num w:numId="24" w16cid:durableId="1949315085">
    <w:abstractNumId w:val="3"/>
  </w:num>
  <w:num w:numId="25" w16cid:durableId="550922089">
    <w:abstractNumId w:val="8"/>
  </w:num>
  <w:num w:numId="26" w16cid:durableId="657270116">
    <w:abstractNumId w:val="11"/>
  </w:num>
  <w:num w:numId="27" w16cid:durableId="1071536950">
    <w:abstractNumId w:val="2"/>
  </w:num>
  <w:num w:numId="28" w16cid:durableId="193982949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03EC"/>
    <w:rsid w:val="00022C6F"/>
    <w:rsid w:val="00036A4A"/>
    <w:rsid w:val="00040750"/>
    <w:rsid w:val="00044E7B"/>
    <w:rsid w:val="000575EC"/>
    <w:rsid w:val="000614FB"/>
    <w:rsid w:val="000B4572"/>
    <w:rsid w:val="000B5C65"/>
    <w:rsid w:val="000C2E99"/>
    <w:rsid w:val="000D0399"/>
    <w:rsid w:val="000D12A7"/>
    <w:rsid w:val="000D70AD"/>
    <w:rsid w:val="000E36F7"/>
    <w:rsid w:val="00102BB9"/>
    <w:rsid w:val="00112FF3"/>
    <w:rsid w:val="00115AED"/>
    <w:rsid w:val="00120206"/>
    <w:rsid w:val="001223CF"/>
    <w:rsid w:val="00126671"/>
    <w:rsid w:val="00131DBA"/>
    <w:rsid w:val="00133573"/>
    <w:rsid w:val="0014055A"/>
    <w:rsid w:val="00145D68"/>
    <w:rsid w:val="001462E6"/>
    <w:rsid w:val="00162E24"/>
    <w:rsid w:val="001727BA"/>
    <w:rsid w:val="00184D15"/>
    <w:rsid w:val="001957A0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D6FCB"/>
    <w:rsid w:val="001E7800"/>
    <w:rsid w:val="001F39D2"/>
    <w:rsid w:val="00201851"/>
    <w:rsid w:val="002049C2"/>
    <w:rsid w:val="00215C6E"/>
    <w:rsid w:val="002443F2"/>
    <w:rsid w:val="00254F02"/>
    <w:rsid w:val="002800CE"/>
    <w:rsid w:val="002A44BE"/>
    <w:rsid w:val="002A60DF"/>
    <w:rsid w:val="002C76D6"/>
    <w:rsid w:val="002F10D4"/>
    <w:rsid w:val="0030130C"/>
    <w:rsid w:val="00310A90"/>
    <w:rsid w:val="00340630"/>
    <w:rsid w:val="00345F3E"/>
    <w:rsid w:val="00351296"/>
    <w:rsid w:val="0036018E"/>
    <w:rsid w:val="00365C91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58E1"/>
    <w:rsid w:val="004B7443"/>
    <w:rsid w:val="004C01CC"/>
    <w:rsid w:val="004D0E13"/>
    <w:rsid w:val="004D40D0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3CE1"/>
    <w:rsid w:val="005C49A0"/>
    <w:rsid w:val="005D6C42"/>
    <w:rsid w:val="005E175B"/>
    <w:rsid w:val="005E707B"/>
    <w:rsid w:val="005F3BD8"/>
    <w:rsid w:val="00621988"/>
    <w:rsid w:val="00650B94"/>
    <w:rsid w:val="006D09A4"/>
    <w:rsid w:val="006D2570"/>
    <w:rsid w:val="006E2F33"/>
    <w:rsid w:val="006F2B25"/>
    <w:rsid w:val="00702FB9"/>
    <w:rsid w:val="00725E17"/>
    <w:rsid w:val="00736A4C"/>
    <w:rsid w:val="00746FC8"/>
    <w:rsid w:val="00751380"/>
    <w:rsid w:val="007663C1"/>
    <w:rsid w:val="00774D81"/>
    <w:rsid w:val="007807A0"/>
    <w:rsid w:val="00786A2E"/>
    <w:rsid w:val="0078787D"/>
    <w:rsid w:val="00796EBF"/>
    <w:rsid w:val="007A3F39"/>
    <w:rsid w:val="007A6BE4"/>
    <w:rsid w:val="007B2444"/>
    <w:rsid w:val="007C1684"/>
    <w:rsid w:val="007E1494"/>
    <w:rsid w:val="007E3992"/>
    <w:rsid w:val="007F735F"/>
    <w:rsid w:val="008127AE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A376A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224"/>
    <w:rsid w:val="009C0518"/>
    <w:rsid w:val="009C5CEA"/>
    <w:rsid w:val="009E5040"/>
    <w:rsid w:val="00A34C2D"/>
    <w:rsid w:val="00A36F3C"/>
    <w:rsid w:val="00A37114"/>
    <w:rsid w:val="00A40E67"/>
    <w:rsid w:val="00A57D6B"/>
    <w:rsid w:val="00A60180"/>
    <w:rsid w:val="00A60E0C"/>
    <w:rsid w:val="00A842F7"/>
    <w:rsid w:val="00A96755"/>
    <w:rsid w:val="00AA2EBC"/>
    <w:rsid w:val="00AD7C3C"/>
    <w:rsid w:val="00AE4715"/>
    <w:rsid w:val="00B004D0"/>
    <w:rsid w:val="00B027C7"/>
    <w:rsid w:val="00B02B15"/>
    <w:rsid w:val="00B15D97"/>
    <w:rsid w:val="00B20EFF"/>
    <w:rsid w:val="00B26018"/>
    <w:rsid w:val="00B30770"/>
    <w:rsid w:val="00B846B9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03FE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973A0"/>
    <w:rsid w:val="00DC7928"/>
    <w:rsid w:val="00DD4F23"/>
    <w:rsid w:val="00DD7EB4"/>
    <w:rsid w:val="00DE05A3"/>
    <w:rsid w:val="00DE5786"/>
    <w:rsid w:val="00E016C7"/>
    <w:rsid w:val="00E2100B"/>
    <w:rsid w:val="00E21B23"/>
    <w:rsid w:val="00E2461D"/>
    <w:rsid w:val="00E259E5"/>
    <w:rsid w:val="00E57BF9"/>
    <w:rsid w:val="00E901F4"/>
    <w:rsid w:val="00E965C1"/>
    <w:rsid w:val="00EA0277"/>
    <w:rsid w:val="00EA69F1"/>
    <w:rsid w:val="00EC010C"/>
    <w:rsid w:val="00EC25C2"/>
    <w:rsid w:val="00EC6543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6E870"/>
  <w15:docId w15:val="{5B9432E5-86A0-45AF-B03F-6D12370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qFormat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  <w:style w:type="character" w:customStyle="1" w:styleId="normaltextrun">
    <w:name w:val="normaltextrun"/>
    <w:basedOn w:val="DefaultParagraphFont"/>
    <w:rsid w:val="00040750"/>
  </w:style>
  <w:style w:type="character" w:customStyle="1" w:styleId="eop">
    <w:name w:val="eop"/>
    <w:basedOn w:val="DefaultParagraphFont"/>
    <w:rsid w:val="0004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D7EC5-E28F-4E98-954E-D3F4030A9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BA84B-DAD6-4B6D-82F8-B556FD4D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70fda-df9e-46bd-96c0-eef56872d6b0"/>
    <ds:schemaRef ds:uri="e0a714ce-8a8a-4f4c-847c-a3405ae9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F51AA-ECE7-4C57-A9F6-6C90305E3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DBA6F-5B83-465A-B8DA-08BEE40E8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2</TotalTime>
  <Pages>1</Pages>
  <Words>273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Mette Kaufmann Andersen</cp:lastModifiedBy>
  <cp:revision>2</cp:revision>
  <cp:lastPrinted>2015-04-21T07:26:00Z</cp:lastPrinted>
  <dcterms:created xsi:type="dcterms:W3CDTF">2023-11-14T14:21:00Z</dcterms:created>
  <dcterms:modified xsi:type="dcterms:W3CDTF">2023-11-14T14:21:00Z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