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040750"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77F133C6" w:rsidR="004B58E1" w:rsidRPr="003A38B6" w:rsidRDefault="00B027C7" w:rsidP="0036018E">
            <w:pPr>
              <w:pStyle w:val="ETITableText"/>
              <w:rPr>
                <w:lang w:val="da-DK"/>
              </w:rPr>
            </w:pPr>
            <w:r>
              <w:rPr>
                <w:lang w:val="da-DK"/>
              </w:rPr>
              <w:t xml:space="preserve">Bachelor i </w:t>
            </w:r>
            <w:r w:rsidR="00040750">
              <w:rPr>
                <w:lang w:val="da-DK"/>
              </w:rPr>
              <w:t>Datavidenskab og Machine Learning (DVML)</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3AAAFF2D" w14:textId="77777777" w:rsidR="00040750" w:rsidRPr="00E964E4" w:rsidRDefault="00040750" w:rsidP="00040750">
            <w:pPr>
              <w:pStyle w:val="ETITableText"/>
              <w:numPr>
                <w:ilvl w:val="0"/>
                <w:numId w:val="28"/>
              </w:numPr>
              <w:rPr>
                <w:b/>
                <w:bCs w:val="0"/>
                <w:lang w:val="da-DK"/>
              </w:rPr>
            </w:pPr>
            <w:r w:rsidRPr="00006E8A">
              <w:rPr>
                <w:rStyle w:val="normaltextrun"/>
                <w:rFonts w:cs="Arial"/>
                <w:szCs w:val="20"/>
                <w:shd w:val="clear" w:color="auto" w:fill="FFFFFF"/>
                <w:lang w:val="da-DK"/>
              </w:rPr>
              <w:t>Der har kun været tre studerende, der har evalueret uddannelsen. Dette gør det vanskeligt at drage mere generelle konklusioner, og de studerendes kvalitative kommentarer tegner heller ikke et entydigt billede af uddannelsen. De studerende har bidraget med enkelte konkrete forslag til ændringer af uddannelsen, men disse ændringsforslag lader i store træk til at være blevet adresseret gennem den sidste studieordningsrevision</w:t>
            </w:r>
            <w:r w:rsidRPr="00006E8A">
              <w:rPr>
                <w:rStyle w:val="eop"/>
                <w:rFonts w:cs="Arial"/>
                <w:szCs w:val="20"/>
                <w:shd w:val="clear" w:color="auto" w:fill="FFFFFF"/>
                <w:lang w:val="da-DK"/>
              </w:rPr>
              <w:t> </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2E4B6C7E" w14:textId="77777777" w:rsidR="002A60DF" w:rsidRDefault="002A60DF" w:rsidP="00EC6543">
            <w:pPr>
              <w:pStyle w:val="ETITableText"/>
              <w:rPr>
                <w:lang w:val="da-DK"/>
              </w:rPr>
            </w:pPr>
          </w:p>
          <w:p w14:paraId="2B687EE0" w14:textId="77777777" w:rsidR="00040750" w:rsidRDefault="00040750" w:rsidP="00040750">
            <w:pPr>
              <w:pStyle w:val="ETITableText"/>
              <w:numPr>
                <w:ilvl w:val="0"/>
                <w:numId w:val="27"/>
              </w:numPr>
              <w:rPr>
                <w:lang w:val="da-DK"/>
              </w:rPr>
            </w:pPr>
            <w:r>
              <w:rPr>
                <w:lang w:val="da-DK"/>
              </w:rPr>
              <w:t>Studienævnets kommentarer</w:t>
            </w:r>
          </w:p>
          <w:p w14:paraId="62D83376" w14:textId="77777777" w:rsidR="00040750" w:rsidRDefault="00040750" w:rsidP="00040750">
            <w:pPr>
              <w:pStyle w:val="ETITableText"/>
              <w:numPr>
                <w:ilvl w:val="1"/>
                <w:numId w:val="27"/>
              </w:numPr>
              <w:rPr>
                <w:lang w:val="da-DK"/>
              </w:rPr>
            </w:pPr>
            <w:r>
              <w:rPr>
                <w:lang w:val="da-DK"/>
              </w:rPr>
              <w:t xml:space="preserve">Kritik er taget til efterretning til ny studieordning. </w:t>
            </w:r>
          </w:p>
          <w:p w14:paraId="1B3B18C6" w14:textId="77777777" w:rsidR="00040750" w:rsidRDefault="00040750" w:rsidP="00040750">
            <w:pPr>
              <w:pStyle w:val="ETITableText"/>
              <w:numPr>
                <w:ilvl w:val="0"/>
                <w:numId w:val="27"/>
              </w:numPr>
              <w:rPr>
                <w:b/>
                <w:bCs w:val="0"/>
                <w:lang w:val="da-DK"/>
              </w:rPr>
            </w:pPr>
            <w:r w:rsidRPr="000922E2">
              <w:rPr>
                <w:b/>
                <w:bCs w:val="0"/>
                <w:lang w:val="da-DK"/>
              </w:rPr>
              <w:t>Beslutning</w:t>
            </w:r>
          </w:p>
          <w:p w14:paraId="264AB49A" w14:textId="0B0292AE" w:rsidR="00102BB9" w:rsidRPr="00040750" w:rsidRDefault="00040750" w:rsidP="00040750">
            <w:pPr>
              <w:pStyle w:val="ETITableText"/>
              <w:numPr>
                <w:ilvl w:val="1"/>
                <w:numId w:val="27"/>
              </w:numPr>
              <w:rPr>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0750"/>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E7800"/>
    <w:rsid w:val="001F39D2"/>
    <w:rsid w:val="00201851"/>
    <w:rsid w:val="002049C2"/>
    <w:rsid w:val="00215C6E"/>
    <w:rsid w:val="002443F2"/>
    <w:rsid w:val="00254F02"/>
    <w:rsid w:val="002800CE"/>
    <w:rsid w:val="002A44BE"/>
    <w:rsid w:val="002A60DF"/>
    <w:rsid w:val="002C76D6"/>
    <w:rsid w:val="002F10D4"/>
    <w:rsid w:val="0030130C"/>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C6543"/>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 w:type="character" w:customStyle="1" w:styleId="normaltextrun">
    <w:name w:val="normaltextrun"/>
    <w:basedOn w:val="DefaultParagraphFont"/>
    <w:rsid w:val="00040750"/>
  </w:style>
  <w:style w:type="character" w:customStyle="1" w:styleId="eop">
    <w:name w:val="eop"/>
    <w:basedOn w:val="DefaultParagraphFont"/>
    <w:rsid w:val="000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1</TotalTime>
  <Pages>1</Pages>
  <Words>256</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2023-11-14T13:44:00Z</dcterms:created>
  <dcterms:modified xsi:type="dcterms:W3CDTF">2023-11-14T13:44:00Z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