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D9B7" w14:textId="77777777" w:rsidR="00B019AB" w:rsidRDefault="0010417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Referat af semesterevalueringsmøde </w:t>
      </w:r>
      <w:r>
        <w:rPr>
          <w:rFonts w:ascii="Calibri" w:eastAsia="Calibri" w:hAnsi="Calibri" w:cs="Calibri"/>
          <w:b/>
          <w:sz w:val="44"/>
          <w:szCs w:val="44"/>
        </w:rPr>
        <w:br/>
      </w:r>
      <w:r>
        <w:rPr>
          <w:rFonts w:ascii="Calibri" w:eastAsia="Calibri" w:hAnsi="Calibri" w:cs="Calibri"/>
          <w:b/>
          <w:sz w:val="18"/>
          <w:szCs w:val="18"/>
        </w:rPr>
        <w:t>- for uddannelser under studienævn for Efteruddannelse i Læring og Filosofi</w:t>
      </w:r>
    </w:p>
    <w:p w14:paraId="6465225C" w14:textId="77777777" w:rsidR="00B019AB" w:rsidRDefault="00B019AB">
      <w:pPr>
        <w:rPr>
          <w:rFonts w:ascii="Calibri" w:eastAsia="Calibri" w:hAnsi="Calibri" w:cs="Calibri"/>
          <w:sz w:val="18"/>
          <w:szCs w:val="18"/>
        </w:rPr>
      </w:pPr>
    </w:p>
    <w:p w14:paraId="16E41E4F" w14:textId="1CE5D226" w:rsidR="00B019AB" w:rsidRDefault="00104170">
      <w:pPr>
        <w:tabs>
          <w:tab w:val="left" w:pos="85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Evaluering af master i </w:t>
      </w:r>
      <w:r>
        <w:rPr>
          <w:rFonts w:ascii="Calibri" w:eastAsia="Calibri" w:hAnsi="Calibri" w:cs="Calibri"/>
        </w:rPr>
        <w:t>Datadrevet organisationsudvikling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1. og 3. semester i</w:t>
      </w:r>
      <w:r>
        <w:rPr>
          <w:rFonts w:ascii="Calibri" w:eastAsia="Calibri" w:hAnsi="Calibri" w:cs="Calibri"/>
        </w:rPr>
        <w:t xml:space="preserve"> Efterår 2023</w:t>
      </w:r>
    </w:p>
    <w:p w14:paraId="486B6BFB" w14:textId="77777777" w:rsidR="00B019AB" w:rsidRDefault="00B019AB">
      <w:pPr>
        <w:tabs>
          <w:tab w:val="left" w:pos="851"/>
        </w:tabs>
        <w:rPr>
          <w:rFonts w:ascii="Calibri" w:eastAsia="Calibri" w:hAnsi="Calibri" w:cs="Calibri"/>
          <w:sz w:val="22"/>
          <w:szCs w:val="22"/>
        </w:rPr>
      </w:pPr>
    </w:p>
    <w:p w14:paraId="5C1A4743" w14:textId="77777777" w:rsidR="00B019AB" w:rsidRDefault="00104170">
      <w:pPr>
        <w:tabs>
          <w:tab w:val="left" w:pos="85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Dato: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5. april 2024</w:t>
      </w:r>
    </w:p>
    <w:p w14:paraId="772CAF53" w14:textId="77777777" w:rsidR="00B019AB" w:rsidRDefault="00B019AB">
      <w:pPr>
        <w:tabs>
          <w:tab w:val="left" w:pos="851"/>
        </w:tabs>
        <w:rPr>
          <w:rFonts w:ascii="Calibri" w:eastAsia="Calibri" w:hAnsi="Calibri" w:cs="Calibri"/>
          <w:sz w:val="22"/>
          <w:szCs w:val="22"/>
        </w:rPr>
      </w:pPr>
    </w:p>
    <w:p w14:paraId="084F0921" w14:textId="77777777" w:rsidR="00B019AB" w:rsidRDefault="00104170">
      <w:pPr>
        <w:tabs>
          <w:tab w:val="left" w:pos="85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Til stede: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Semesterkoordinator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Anders Koed Madsen og Lars Birch Andreasen </w:t>
      </w:r>
    </w:p>
    <w:p w14:paraId="5B1DE1C5" w14:textId="77777777" w:rsidR="00B019AB" w:rsidRDefault="00104170">
      <w:pPr>
        <w:tabs>
          <w:tab w:val="left" w:pos="85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Studienævn</w:t>
      </w:r>
      <w:r>
        <w:rPr>
          <w:rFonts w:ascii="Calibri" w:eastAsia="Calibri" w:hAnsi="Calibri" w:cs="Calibri"/>
          <w:sz w:val="22"/>
          <w:szCs w:val="22"/>
        </w:rPr>
        <w:t xml:space="preserve">sforperson: Robert Christian Thomasen </w:t>
      </w:r>
    </w:p>
    <w:p w14:paraId="246B37E8" w14:textId="77777777" w:rsidR="00B019AB" w:rsidRDefault="00104170">
      <w:pPr>
        <w:tabs>
          <w:tab w:val="left" w:pos="85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Studiesekretær: </w:t>
      </w:r>
      <w:r>
        <w:rPr>
          <w:rFonts w:ascii="Calibri" w:eastAsia="Calibri" w:hAnsi="Calibri" w:cs="Calibri"/>
          <w:sz w:val="22"/>
          <w:szCs w:val="22"/>
        </w:rPr>
        <w:t xml:space="preserve">Inger-marie Brun </w:t>
      </w:r>
    </w:p>
    <w:p w14:paraId="404C83FE" w14:textId="77777777" w:rsidR="00B019AB" w:rsidRDefault="00B019AB">
      <w:pPr>
        <w:rPr>
          <w:rFonts w:ascii="Calibri" w:eastAsia="Calibri" w:hAnsi="Calibri" w:cs="Calibri"/>
          <w:sz w:val="22"/>
          <w:szCs w:val="22"/>
        </w:rPr>
      </w:pPr>
    </w:p>
    <w:p w14:paraId="52707067" w14:textId="77777777" w:rsidR="00B019AB" w:rsidRDefault="0010417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Dagsorden:</w:t>
      </w:r>
    </w:p>
    <w:p w14:paraId="3E95040C" w14:textId="77777777" w:rsidR="00B019AB" w:rsidRDefault="00B019AB">
      <w:pPr>
        <w:rPr>
          <w:rFonts w:ascii="Calibri" w:eastAsia="Calibri" w:hAnsi="Calibri" w:cs="Calibri"/>
          <w:sz w:val="22"/>
          <w:szCs w:val="22"/>
        </w:rPr>
      </w:pPr>
    </w:p>
    <w:p w14:paraId="75C91806" w14:textId="77777777" w:rsidR="00B019AB" w:rsidRDefault="0010417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Fastsættelse af dato for næste evalueringsmøde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</w:p>
    <w:p w14:paraId="3EAB8BF3" w14:textId="77777777" w:rsidR="00B019AB" w:rsidRDefault="0010417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Resultaterne af de studerendes spørgeskemabaserede semesterevaluering (</w:t>
      </w:r>
      <w:proofErr w:type="spellStart"/>
      <w:r>
        <w:rPr>
          <w:rFonts w:ascii="Calibri" w:eastAsia="Calibri" w:hAnsi="Calibri" w:cs="Calibri"/>
          <w:sz w:val="22"/>
          <w:szCs w:val="22"/>
        </w:rPr>
        <w:t>SurveyXact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spørgeskemaundersøgelsen)</w:t>
      </w:r>
    </w:p>
    <w:p w14:paraId="5624C729" w14:textId="77777777" w:rsidR="00B019AB" w:rsidRDefault="0010417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Supplerende fra de studerendes mundtlige evalueringer i forbindelse med uddannelsesseminarer</w:t>
      </w:r>
    </w:p>
    <w:p w14:paraId="5BF96096" w14:textId="77777777" w:rsidR="00B019AB" w:rsidRDefault="0010417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Opfølgning på eventuelle punkter fra sidste semesterevaluering</w:t>
      </w:r>
    </w:p>
    <w:p w14:paraId="08FB3B87" w14:textId="77777777" w:rsidR="00B019AB" w:rsidRDefault="0010417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Fremtidige udviklingsmuligheder på semestret</w:t>
      </w:r>
    </w:p>
    <w:p w14:paraId="29276623" w14:textId="77777777" w:rsidR="00B019AB" w:rsidRDefault="0010417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Eventuelt</w:t>
      </w:r>
    </w:p>
    <w:p w14:paraId="67861A1D" w14:textId="77777777" w:rsidR="00B019AB" w:rsidRDefault="00B019AB">
      <w:pPr>
        <w:rPr>
          <w:rFonts w:ascii="Calibri" w:eastAsia="Calibri" w:hAnsi="Calibri" w:cs="Calibri"/>
          <w:sz w:val="22"/>
          <w:szCs w:val="22"/>
        </w:rPr>
      </w:pPr>
    </w:p>
    <w:p w14:paraId="1EA4BCBA" w14:textId="77777777" w:rsidR="00B019AB" w:rsidRDefault="00B019AB">
      <w:pPr>
        <w:rPr>
          <w:rFonts w:ascii="Calibri" w:eastAsia="Calibri" w:hAnsi="Calibri" w:cs="Calibri"/>
        </w:rPr>
      </w:pPr>
    </w:p>
    <w:tbl>
      <w:tblPr>
        <w:tblStyle w:val="a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667"/>
        <w:gridCol w:w="2073"/>
      </w:tblGrid>
      <w:tr w:rsidR="00B019AB" w14:paraId="09128C13" w14:textId="77777777">
        <w:tc>
          <w:tcPr>
            <w:tcW w:w="1113" w:type="dxa"/>
          </w:tcPr>
          <w:p w14:paraId="30E8FE84" w14:textId="77777777" w:rsidR="00B019AB" w:rsidRDefault="00B019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8" w:type="dxa"/>
          </w:tcPr>
          <w:p w14:paraId="7578EAB6" w14:textId="77777777" w:rsidR="00B019AB" w:rsidRDefault="00104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Noter</w:t>
            </w:r>
          </w:p>
        </w:tc>
        <w:tc>
          <w:tcPr>
            <w:tcW w:w="2073" w:type="dxa"/>
          </w:tcPr>
          <w:p w14:paraId="3AD14360" w14:textId="77777777" w:rsidR="00B019AB" w:rsidRDefault="00104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Opfølgningsansvar</w:t>
            </w:r>
          </w:p>
        </w:tc>
      </w:tr>
      <w:tr w:rsidR="00B019AB" w14:paraId="164CDE57" w14:textId="77777777">
        <w:trPr>
          <w:trHeight w:val="980"/>
        </w:trPr>
        <w:tc>
          <w:tcPr>
            <w:tcW w:w="1113" w:type="dxa"/>
          </w:tcPr>
          <w:p w14:paraId="27947258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  <w:p w14:paraId="04F371B7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5E217F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8" w:type="dxa"/>
          </w:tcPr>
          <w:p w14:paraId="5837B876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Inger-marie finder dato for evalueringsmøde i efteråret 2024 for hhv. 2. og 4. semester </w:t>
            </w:r>
          </w:p>
          <w:p w14:paraId="6CAC70F7" w14:textId="77777777" w:rsidR="00B019AB" w:rsidRDefault="00B019AB">
            <w:pPr>
              <w:tabs>
                <w:tab w:val="left" w:pos="2085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3" w:type="dxa"/>
          </w:tcPr>
          <w:p w14:paraId="2E76955D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Inger-marie</w:t>
            </w:r>
          </w:p>
        </w:tc>
      </w:tr>
      <w:tr w:rsidR="00B019AB" w14:paraId="710CE6D5" w14:textId="77777777">
        <w:tc>
          <w:tcPr>
            <w:tcW w:w="1113" w:type="dxa"/>
          </w:tcPr>
          <w:p w14:paraId="1DFA6302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6668" w:type="dxa"/>
          </w:tcPr>
          <w:p w14:paraId="29B50E6F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semester: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Kun få har besvaret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surveyet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men de er generelt tilfredse med modulet, tilrettelæggelsen, det faglige niveau, mængden af litteratur, mv.  Studiemiljøet vurderes behageligt, og der er tilfredshed med mødet mellem semestrene.</w:t>
            </w:r>
          </w:p>
          <w:p w14:paraId="21F76F79" w14:textId="77777777" w:rsidR="00B019AB" w:rsidRDefault="00B019A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C7C42CF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semester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Stor tilfredshed med modulet. Flertallet er meget tilfredse med udbyttet, planlægning m.m., enkelte siger dog ‘middel’/’lille’ vedr. udbytte. Det kan bl.a. skyldes at nogle af oplæggene var vel teoretiske. Kommentaren om det indforståede niveau kunne være en indikation på det. </w:t>
            </w:r>
          </w:p>
          <w:p w14:paraId="361BCE79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CCD88A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Majoriteten ønsker valgfrihed mellem fysisk og online eksamen. Det gælder både på 1. og 3. semester. </w:t>
            </w:r>
          </w:p>
          <w:p w14:paraId="449C0524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3" w:type="dxa"/>
          </w:tcPr>
          <w:p w14:paraId="307E1C35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19AB" w14:paraId="1E2ADC77" w14:textId="77777777">
        <w:tc>
          <w:tcPr>
            <w:tcW w:w="1113" w:type="dxa"/>
          </w:tcPr>
          <w:p w14:paraId="17006175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6668" w:type="dxa"/>
          </w:tcPr>
          <w:p w14:paraId="04A78486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semester: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den mundtlige evaluering pegede nogle studerende på, at de kunne føle det mere tekniske ‘maskinfag’ svært tilgængeligt, og at den pædagogiske tilrettelæggelse kunne udvikles.</w:t>
            </w:r>
          </w:p>
          <w:p w14:paraId="2993B2F1" w14:textId="77777777" w:rsidR="00B019AB" w:rsidRDefault="00B019A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2448C1D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3. semester: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den mundtlige evaluering pegede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del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studerende på vigtigheden af at afklare forståe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lsen af arbejdet med interventioner. </w:t>
            </w:r>
          </w:p>
          <w:p w14:paraId="3ABFEFBB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5C9F70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Der var generelt stor tilfredshed med den obligatoriske forplejning på begge semestre. Det er lettere ift. regning til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arbejdsgiver,  og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giver et godt fælles sammenhold. </w:t>
            </w:r>
          </w:p>
          <w:p w14:paraId="2C5D88F8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5C608C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Desuden godt med mulighed for at mødes på tværs af de to semestre.</w:t>
            </w:r>
          </w:p>
          <w:p w14:paraId="41F09527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3" w:type="dxa"/>
          </w:tcPr>
          <w:p w14:paraId="4596DF25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FB7073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15B5BC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E9AB7D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64AB1B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051CB3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19AB" w14:paraId="263E0D80" w14:textId="77777777">
        <w:tc>
          <w:tcPr>
            <w:tcW w:w="1113" w:type="dxa"/>
          </w:tcPr>
          <w:p w14:paraId="6D58881C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668" w:type="dxa"/>
          </w:tcPr>
          <w:p w14:paraId="786A93ED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Ikke specifikke opfølgningspunkter.</w:t>
            </w:r>
          </w:p>
        </w:tc>
        <w:tc>
          <w:tcPr>
            <w:tcW w:w="2073" w:type="dxa"/>
          </w:tcPr>
          <w:p w14:paraId="2BB9F1BF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7BEF9A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A397CD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035770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19AB" w14:paraId="4270F0F4" w14:textId="77777777">
        <w:tc>
          <w:tcPr>
            <w:tcW w:w="1113" w:type="dxa"/>
          </w:tcPr>
          <w:p w14:paraId="3598A89D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6668" w:type="dxa"/>
          </w:tcPr>
          <w:p w14:paraId="3C8962F5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semester: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 udviklingspunkt kan være at udvikle den pædagogiske tilrettelæggelse af maskinfaget.</w:t>
            </w:r>
          </w:p>
          <w:p w14:paraId="7DA61543" w14:textId="77777777" w:rsidR="00B019AB" w:rsidRDefault="00B019A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8A9762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semester: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 udviklingspunkt kunne være at gøre enkelte oplæg mere praksisnære. F.eks. i forhold til interventions-begrebet.  </w:t>
            </w:r>
          </w:p>
          <w:p w14:paraId="4ADE881B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18572A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3" w:type="dxa"/>
          </w:tcPr>
          <w:p w14:paraId="7ED4BA8C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Anders &amp; Mathieu</w:t>
            </w:r>
          </w:p>
          <w:p w14:paraId="42059A53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FE3997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F45516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Lars</w:t>
            </w:r>
          </w:p>
        </w:tc>
      </w:tr>
      <w:tr w:rsidR="00B019AB" w14:paraId="5C6ABB30" w14:textId="77777777">
        <w:tc>
          <w:tcPr>
            <w:tcW w:w="1113" w:type="dxa"/>
          </w:tcPr>
          <w:p w14:paraId="01D890D1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6668" w:type="dxa"/>
          </w:tcPr>
          <w:p w14:paraId="6C386309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hele uddannelsen ses måske et behov for at se på om studerende i dag ønsker mere fleksible muligheder, set i forhold til den ret faste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to-årige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progression, MDO-uddannelsen er tænkt ud fra. Det vil kræve et udviklingsarbejde at tage højde for.</w:t>
            </w:r>
          </w:p>
          <w:p w14:paraId="4A3C4A8E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0504ED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 skal gøre en indsats for at promovere muligheden for at tage 1. semester som enkeltfag. Et første skridt er at arrangere møde med Zenia, Robert og Anders i april. </w:t>
            </w:r>
          </w:p>
          <w:p w14:paraId="099ABBB0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1EFC46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 skal arbejde med at involvere studenterrepræsentanter i semesterrådet.  </w:t>
            </w:r>
          </w:p>
          <w:p w14:paraId="0FC0B8CA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3" w:type="dxa"/>
          </w:tcPr>
          <w:p w14:paraId="6F7DC910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 &amp; Anders</w:t>
            </w:r>
          </w:p>
          <w:p w14:paraId="4797670B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58F122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275A8C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C9ABB7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CD52E3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</w:t>
            </w:r>
          </w:p>
          <w:p w14:paraId="27F1AC47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6AE326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993453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791004" w14:textId="77777777" w:rsidR="00B019AB" w:rsidRDefault="001041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Anders</w:t>
            </w:r>
          </w:p>
          <w:p w14:paraId="57686EAD" w14:textId="77777777" w:rsidR="00B019AB" w:rsidRDefault="00B019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9C0033" w14:textId="77777777" w:rsidR="00B019AB" w:rsidRDefault="0010417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Mødereferat udarbejdet af </w:t>
      </w:r>
      <w:r>
        <w:rPr>
          <w:rFonts w:ascii="Calibri" w:eastAsia="Calibri" w:hAnsi="Calibri" w:cs="Calibri"/>
          <w:i/>
          <w:sz w:val="22"/>
          <w:szCs w:val="22"/>
        </w:rPr>
        <w:t>Anders Koed Madsen</w:t>
      </w:r>
      <w:r>
        <w:rPr>
          <w:rFonts w:ascii="Calibri" w:eastAsia="Calibri" w:hAnsi="Calibri" w:cs="Calibri"/>
          <w:i/>
          <w:sz w:val="22"/>
          <w:szCs w:val="22"/>
        </w:rPr>
        <w:t xml:space="preserve">, den </w:t>
      </w:r>
      <w:r>
        <w:rPr>
          <w:rFonts w:ascii="Calibri" w:eastAsia="Calibri" w:hAnsi="Calibri" w:cs="Calibri"/>
          <w:i/>
          <w:sz w:val="22"/>
          <w:szCs w:val="22"/>
        </w:rPr>
        <w:t>5. april 2024</w:t>
      </w:r>
    </w:p>
    <w:p w14:paraId="4CC05D3F" w14:textId="77777777" w:rsidR="00B019AB" w:rsidRDefault="00B019AB">
      <w:pPr>
        <w:rPr>
          <w:rFonts w:ascii="Calibri" w:eastAsia="Calibri" w:hAnsi="Calibri" w:cs="Calibri"/>
        </w:rPr>
      </w:pPr>
    </w:p>
    <w:p w14:paraId="0AC626FC" w14:textId="77777777" w:rsidR="00B019AB" w:rsidRDefault="00B019AB">
      <w:pPr>
        <w:rPr>
          <w:rFonts w:ascii="Calibri" w:eastAsia="Calibri" w:hAnsi="Calibri" w:cs="Calibri"/>
        </w:rPr>
      </w:pPr>
    </w:p>
    <w:sectPr w:rsidR="00B019AB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9D83" w14:textId="77777777" w:rsidR="00104170" w:rsidRDefault="00104170">
      <w:r>
        <w:separator/>
      </w:r>
    </w:p>
  </w:endnote>
  <w:endnote w:type="continuationSeparator" w:id="0">
    <w:p w14:paraId="3CFB5442" w14:textId="77777777" w:rsidR="00104170" w:rsidRDefault="0010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54B8" w14:textId="77777777" w:rsidR="00B019AB" w:rsidRDefault="00104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7D8EF7D" w14:textId="77777777" w:rsidR="00B019AB" w:rsidRDefault="00B019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1B06" w14:textId="77777777" w:rsidR="00B019AB" w:rsidRDefault="00104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8EAA3DA" w14:textId="77777777" w:rsidR="00B019AB" w:rsidRDefault="00B019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A9D1" w14:textId="77777777" w:rsidR="00104170" w:rsidRDefault="00104170">
      <w:r>
        <w:separator/>
      </w:r>
    </w:p>
  </w:footnote>
  <w:footnote w:type="continuationSeparator" w:id="0">
    <w:p w14:paraId="09B83520" w14:textId="77777777" w:rsidR="00104170" w:rsidRDefault="00104170">
      <w:r>
        <w:continuationSeparator/>
      </w:r>
    </w:p>
  </w:footnote>
  <w:footnote w:id="1">
    <w:p w14:paraId="18FCB0A0" w14:textId="77777777" w:rsidR="00B019AB" w:rsidRDefault="001041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 foråret skal møderne være afholdt mellem 7. marts og 30. april – i efteråret skal møderne være afholdt mellem 7. oktober og 30. november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644A" w14:textId="77777777" w:rsidR="00B019AB" w:rsidRDefault="00104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147C0712" wp14:editId="7527F55C">
          <wp:extent cx="1790065" cy="10534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065" cy="1053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25C21"/>
    <w:multiLevelType w:val="multilevel"/>
    <w:tmpl w:val="6CAA3B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79340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AB"/>
    <w:rsid w:val="00104170"/>
    <w:rsid w:val="00B0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7A5D"/>
  <w15:docId w15:val="{4C666E1E-DCFA-45B2-947D-40A045F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Inger-marie Brun</dc:creator>
  <cp:lastModifiedBy>Inger-marie Brun</cp:lastModifiedBy>
  <cp:revision>2</cp:revision>
  <dcterms:created xsi:type="dcterms:W3CDTF">2024-04-16T11:04:00Z</dcterms:created>
  <dcterms:modified xsi:type="dcterms:W3CDTF">2024-04-16T11:04:00Z</dcterms:modified>
</cp:coreProperties>
</file>