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040750"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0376D6CC" w:rsidR="004B58E1" w:rsidRPr="003A38B6" w:rsidRDefault="00310A90" w:rsidP="0036018E">
            <w:pPr>
              <w:pStyle w:val="ETITableText"/>
              <w:rPr>
                <w:lang w:val="da-DK"/>
              </w:rPr>
            </w:pPr>
            <w:r>
              <w:rPr>
                <w:lang w:val="da-DK"/>
              </w:rPr>
              <w:t>Kandidatuddannelsen</w:t>
            </w:r>
            <w:r w:rsidR="00B027C7">
              <w:rPr>
                <w:lang w:val="da-DK"/>
              </w:rPr>
              <w:t xml:space="preserve"> i </w:t>
            </w:r>
            <w:r w:rsidR="005D6C42">
              <w:rPr>
                <w:lang w:val="da-DK"/>
              </w:rPr>
              <w:t>Interaktionsdesign (</w:t>
            </w:r>
            <w:proofErr w:type="spellStart"/>
            <w:r w:rsidR="005D6C42">
              <w:rPr>
                <w:lang w:val="da-DK"/>
              </w:rPr>
              <w:t>IxD</w:t>
            </w:r>
            <w:proofErr w:type="spellEnd"/>
            <w:r w:rsidR="005D6C42">
              <w:rPr>
                <w:lang w:val="da-DK"/>
              </w:rPr>
              <w:t>)</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278B138E" w14:textId="77777777" w:rsidR="005D6C42" w:rsidRPr="00C7261D" w:rsidRDefault="005D6C42" w:rsidP="005D6C42">
            <w:pPr>
              <w:pStyle w:val="ETITableText"/>
              <w:numPr>
                <w:ilvl w:val="0"/>
                <w:numId w:val="28"/>
              </w:numPr>
              <w:rPr>
                <w:lang w:val="da-DK"/>
              </w:rPr>
            </w:pPr>
            <w:r w:rsidRPr="00C7261D">
              <w:rPr>
                <w:lang w:val="da-DK"/>
              </w:rPr>
              <w:t>Samlet set er der tilfredshed med uddannelsen, hvor de største kritikpunkter vedr. manglen på praktikophold og oplevelsen af relevans for kurser, der primært retter sig mod færdigheder indenfor systemudvikling. Kurser, der er centrale for interaktionsdesignfagligheden opleves som relevante.</w:t>
            </w:r>
          </w:p>
          <w:p w14:paraId="1D7A00EF" w14:textId="77777777" w:rsidR="005D6C42" w:rsidRDefault="005D6C42" w:rsidP="005D6C42">
            <w:pPr>
              <w:pStyle w:val="ETITableText"/>
              <w:numPr>
                <w:ilvl w:val="0"/>
                <w:numId w:val="28"/>
              </w:numPr>
              <w:rPr>
                <w:lang w:val="da-DK"/>
              </w:rPr>
            </w:pPr>
            <w:r>
              <w:rPr>
                <w:lang w:val="da-DK"/>
              </w:rPr>
              <w:t>Øget industrifokus:</w:t>
            </w:r>
          </w:p>
          <w:p w14:paraId="6C829C33" w14:textId="77777777" w:rsidR="005D6C42" w:rsidRPr="00E964E4" w:rsidRDefault="005D6C42" w:rsidP="005D6C42">
            <w:pPr>
              <w:pStyle w:val="ETITableText"/>
              <w:numPr>
                <w:ilvl w:val="1"/>
                <w:numId w:val="28"/>
              </w:numPr>
              <w:rPr>
                <w:b/>
                <w:bCs w:val="0"/>
                <w:lang w:val="da-DK"/>
              </w:rPr>
            </w:pPr>
            <w:r>
              <w:rPr>
                <w:lang w:val="da-DK"/>
              </w:rPr>
              <w:t>Uddannelsesgruppen arbejder på en revision af kandidatuddannelsen, hvor et opmærksomhedspunkt kunne være øget fokus på industrisamarbejde, f.eks. i stil med 9. semester på uddannelsen i Digitalisering og Applikationsudvikling, hvor de studerende skal samarbejde med en virksomhed.</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7F545FA4" w14:textId="77777777" w:rsidR="005D6C42" w:rsidRDefault="005D6C42" w:rsidP="005D6C42">
            <w:pPr>
              <w:pStyle w:val="ETITableText"/>
              <w:numPr>
                <w:ilvl w:val="0"/>
                <w:numId w:val="27"/>
              </w:numPr>
              <w:rPr>
                <w:lang w:val="da-DK"/>
              </w:rPr>
            </w:pPr>
            <w:r>
              <w:rPr>
                <w:lang w:val="da-DK"/>
              </w:rPr>
              <w:t>Studienævnets kommentarer</w:t>
            </w:r>
          </w:p>
          <w:p w14:paraId="62E615CE" w14:textId="77777777" w:rsidR="005D6C42" w:rsidRDefault="005D6C42" w:rsidP="005D6C42">
            <w:pPr>
              <w:pStyle w:val="ETITableText"/>
              <w:numPr>
                <w:ilvl w:val="1"/>
                <w:numId w:val="27"/>
              </w:numPr>
              <w:rPr>
                <w:lang w:val="da-DK"/>
              </w:rPr>
            </w:pPr>
            <w:r>
              <w:rPr>
                <w:lang w:val="da-DK"/>
              </w:rPr>
              <w:t xml:space="preserve">Der stilles spørgsmål til relevansen af kursusmodulet </w:t>
            </w:r>
            <w:proofErr w:type="spellStart"/>
            <w:r>
              <w:rPr>
                <w:lang w:val="da-DK"/>
              </w:rPr>
              <w:t>Entrepreneurship</w:t>
            </w:r>
            <w:proofErr w:type="spellEnd"/>
            <w:r>
              <w:rPr>
                <w:lang w:val="da-DK"/>
              </w:rPr>
              <w:t xml:space="preserve"> (ENT) på IxD9</w:t>
            </w:r>
          </w:p>
          <w:p w14:paraId="2FDF6A29" w14:textId="77777777" w:rsidR="005D6C42" w:rsidRDefault="005D6C42" w:rsidP="005D6C42">
            <w:pPr>
              <w:pStyle w:val="ETITableText"/>
              <w:numPr>
                <w:ilvl w:val="2"/>
                <w:numId w:val="27"/>
              </w:numPr>
              <w:rPr>
                <w:lang w:val="da-DK"/>
              </w:rPr>
            </w:pPr>
            <w:r>
              <w:rPr>
                <w:lang w:val="da-DK"/>
              </w:rPr>
              <w:t>Der kommer ny underviser fra E24, da nuværende gå på pension.</w:t>
            </w:r>
          </w:p>
          <w:p w14:paraId="28F87712" w14:textId="77777777" w:rsidR="005D6C42" w:rsidRDefault="005D6C42" w:rsidP="005D6C42">
            <w:pPr>
              <w:pStyle w:val="ETITableText"/>
              <w:numPr>
                <w:ilvl w:val="1"/>
                <w:numId w:val="27"/>
              </w:numPr>
              <w:rPr>
                <w:lang w:val="da-DK"/>
              </w:rPr>
            </w:pPr>
            <w:r>
              <w:rPr>
                <w:lang w:val="da-DK"/>
              </w:rPr>
              <w:t>Ønske om praktikophold</w:t>
            </w:r>
          </w:p>
          <w:p w14:paraId="5EFCAEA6" w14:textId="77777777" w:rsidR="005D6C42" w:rsidRDefault="005D6C42" w:rsidP="005D6C42">
            <w:pPr>
              <w:pStyle w:val="ETITableText"/>
              <w:numPr>
                <w:ilvl w:val="2"/>
                <w:numId w:val="27"/>
              </w:numPr>
              <w:rPr>
                <w:lang w:val="da-DK"/>
              </w:rPr>
            </w:pPr>
            <w:r>
              <w:rPr>
                <w:lang w:val="da-DK"/>
              </w:rPr>
              <w:t>Kandidatreform på vej, så mulighed for dette kommer måske ad dén vej. Derfor ikke noget udd.gr vil arbejde mere for på nuværende tidspunkt.</w:t>
            </w:r>
          </w:p>
          <w:p w14:paraId="1EC51097" w14:textId="77777777" w:rsidR="005D6C42" w:rsidRDefault="005D6C42" w:rsidP="005D6C42">
            <w:pPr>
              <w:pStyle w:val="ETITableText"/>
              <w:numPr>
                <w:ilvl w:val="0"/>
                <w:numId w:val="27"/>
              </w:numPr>
              <w:rPr>
                <w:b/>
                <w:bCs w:val="0"/>
                <w:lang w:val="da-DK"/>
              </w:rPr>
            </w:pPr>
            <w:r w:rsidRPr="000922E2">
              <w:rPr>
                <w:b/>
                <w:bCs w:val="0"/>
                <w:lang w:val="da-DK"/>
              </w:rPr>
              <w:t>Beslutning</w:t>
            </w:r>
          </w:p>
          <w:p w14:paraId="264AB49A" w14:textId="316EF0B6" w:rsidR="00102BB9" w:rsidRPr="005D6C42" w:rsidRDefault="005D6C42" w:rsidP="005D6C42">
            <w:pPr>
              <w:pStyle w:val="ETITableText"/>
              <w:numPr>
                <w:ilvl w:val="1"/>
                <w:numId w:val="27"/>
              </w:numPr>
              <w:rPr>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0750"/>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D6FCB"/>
    <w:rsid w:val="001E7800"/>
    <w:rsid w:val="001F39D2"/>
    <w:rsid w:val="00201851"/>
    <w:rsid w:val="002049C2"/>
    <w:rsid w:val="00215C6E"/>
    <w:rsid w:val="002443F2"/>
    <w:rsid w:val="00254F02"/>
    <w:rsid w:val="002800CE"/>
    <w:rsid w:val="002A44BE"/>
    <w:rsid w:val="002A60DF"/>
    <w:rsid w:val="002C76D6"/>
    <w:rsid w:val="002F10D4"/>
    <w:rsid w:val="0030130C"/>
    <w:rsid w:val="00310A90"/>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D6C42"/>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C6543"/>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 w:type="character" w:customStyle="1" w:styleId="normaltextrun">
    <w:name w:val="normaltextrun"/>
    <w:basedOn w:val="DefaultParagraphFont"/>
    <w:rsid w:val="00040750"/>
  </w:style>
  <w:style w:type="character" w:customStyle="1" w:styleId="eop">
    <w:name w:val="eop"/>
    <w:basedOn w:val="DefaultParagraphFont"/>
    <w:rsid w:val="000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2</TotalTime>
  <Pages>1</Pages>
  <Words>314</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2023-11-14T13:57:00Z</dcterms:created>
  <dcterms:modified xsi:type="dcterms:W3CDTF">2023-11-14T13:57:00Z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